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《武汉市东湖生态旅游风景区生态环境保护“十四五”规划》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13" w:name="_GoBack"/>
      <w:bookmarkEnd w:id="1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现将《武汉市东湖生态旅游风景区生态环境保护“十四五”规划》（以下简称《规划》)有关内容解读如下：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一、编制目的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“十四五”时期是开启全面建设社会主义现代化国家新征程、向着第二个百年奋斗目标进军的五年，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是武汉</w:t>
      </w:r>
      <w:r>
        <w:rPr>
          <w:rFonts w:hint="eastAsia" w:ascii="仿宋" w:hAnsi="仿宋" w:eastAsia="仿宋" w:cs="仿宋"/>
          <w:sz w:val="24"/>
          <w:szCs w:val="24"/>
        </w:rPr>
        <w:t>推进城市高质量发展，打造“五个中心”、建设现代化大武汉的关键五年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为促进全区</w:t>
      </w:r>
      <w:r>
        <w:rPr>
          <w:rFonts w:hint="eastAsia" w:ascii="仿宋" w:hAnsi="仿宋" w:eastAsia="仿宋" w:cs="仿宋"/>
          <w:sz w:val="24"/>
          <w:szCs w:val="24"/>
        </w:rPr>
        <w:t>准确贯彻新发展理念，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落实湖北省、武汉市生态环境保护要求，实现</w:t>
      </w:r>
      <w:r>
        <w:rPr>
          <w:rFonts w:hint="eastAsia" w:ascii="仿宋" w:hAnsi="仿宋" w:eastAsia="仿宋" w:cs="仿宋"/>
          <w:sz w:val="24"/>
          <w:szCs w:val="24"/>
        </w:rPr>
        <w:t>生态优先、绿色崛起的新路子，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进一步改善区域生态环境，制订本规划。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习近平生态文明思想为统领，以改善生态环境质量为核心，坚持精准治污、科学治污、依法治污，做到问题精准、时间精准、区位精准、对象精准、措施精准，打好升级版污染防治攻坚战，积极应对气候变化，确保核与辐射安全，依法推进生态环境督察执法，健全生态环境监测和评价制度，着力构建生态环境治理及修复体系，全力推进新时代绿色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来五年，将全力推进东湖生态系统修复，严格落实污水全收集全处理、初期雨水治理和海绵城市建设，强化生态环境保护，进一步实现水质提升，打造长江流域水环境治理示范；统筹实施山水林田湖草沙系统治理，重点保护东湖森林、湿地两大生态系统；开展水生态修复，重建水下森林，打造沿湖生态廊道，构建完整的绿色生态景观系统，形成水生态修复示范区域。到2025年，东湖达到或好于Ⅲ类水体比例、空气质量优良率均完成武汉市下达目标，森林覆盖率达到15%，生物多样性得到有效保护，区域噪声、土壤等环境质量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望2035年，全面实现景村一体、城湖一体发展，构建以改善环境质量为导向，监管统一、执法严明、多方参与的环境治理体系。突出东湖旅游风景区生态系统“碳汇”作用，为全市“碳达峰”、“碳中和”作出应有的贡献。全区广泛形成绿色生产生活方式，持续发挥东湖生态休闲功能，建成世界级“城市绿心”和“城中湖”典范。空气质量根本改善，水环境质量全面提升，土壤环境安全得到有效保障，环境风险得到严格管控，生态系统趋于良性循环，实现区域生态环境全面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《规划》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结合东湖风景区实际情况，“十四五”期间构建包含环境质量改善、绿色发展、生态保护与修复、环境风险防范、生态人居建设五个方面的综合指标体系共23项。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《规划》从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个方面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明确了十四五期间生态环境保护</w:t>
      </w:r>
      <w:r>
        <w:rPr>
          <w:rFonts w:hint="eastAsia" w:ascii="仿宋" w:hAnsi="仿宋" w:eastAsia="仿宋" w:cs="仿宋"/>
          <w:sz w:val="24"/>
          <w:szCs w:val="24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打造世界级“城市绿心”和“城中湖”典范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强生态空间管控，强化“三线一单”成果应用和景区分级保护要求，落实生态环境分区管控的要求，突出对核心景区的保护措施；持续推进东湖水环境治理，落实截污控污、专项巡查、统筹联防联治，全面消除V类、劣V类水体；实施山水林田湖草沙一体化保护修复，强化生物多样性资源保护，构建山体相连、山峦相映的大东湖生态绿网，打造世界级城市绿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2.统筹推进大气污染防治。</w:t>
      </w:r>
      <w:r>
        <w:rPr>
          <w:rFonts w:hint="eastAsia" w:ascii="仿宋" w:hAnsi="仿宋" w:eastAsia="仿宋" w:cs="仿宋"/>
          <w:sz w:val="24"/>
          <w:szCs w:val="24"/>
        </w:rPr>
        <w:t>强化多污染物协同控制，持续改善大气环境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协同开展细颗粒物和臭氧污染防治，实施重点行业大气污染物深度治理和挥发性有机物治理，加强移动源污染防治，强化扬尘污染治理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完善执法监管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协同保障土壤和地下水环境安全。严格土地规划、供地、用地管理从源头防控土壤污染风险；持续推进农业用地保护，强化工业企业、农业面源及生活污染源头管控防止建设用地新增土壤污染；建立全区土壤、地下水环境质量监控网络，强化现代科技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Toc569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4.营造宁静和谐的“安静景区”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。优化区域声环境质量监管，落实重点领域噪声污染治理，加强噪声扰民沟通渠道，做到“事事有着落，件有回音”。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1" w:name="_Toc2320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提升绿色发展水平</w:t>
      </w:r>
      <w:bookmarkEnd w:id="1"/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充分发挥东湖绿心生态优势，培育发展“大湖+文化创意”“大湖+会议会展”“大湖+体育”等新产业;推动区内产业绿色升级，推进生态农业技术应用,实现产品全周期的绿色环保；</w:t>
      </w:r>
      <w:bookmarkStart w:id="2" w:name="_Toc21875"/>
      <w:r>
        <w:rPr>
          <w:rFonts w:hint="eastAsia" w:ascii="仿宋" w:hAnsi="仿宋" w:eastAsia="仿宋" w:cs="仿宋"/>
          <w:sz w:val="24"/>
          <w:szCs w:val="24"/>
        </w:rPr>
        <w:t>加强资源的高效利用</w:t>
      </w:r>
      <w:bookmarkEnd w:id="2"/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建设节水、节能产业体系。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推进“碳中和”景区的建设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碳达峰、碳中和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纳入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区域</w:t>
      </w:r>
      <w:r>
        <w:rPr>
          <w:rFonts w:hint="eastAsia" w:ascii="仿宋" w:hAnsi="仿宋" w:eastAsia="仿宋" w:cs="仿宋"/>
          <w:sz w:val="24"/>
          <w:szCs w:val="24"/>
        </w:rPr>
        <w:t>生态文明建设整体布局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积极探索近零碳排放发展模式，积极响应湖北省、武汉市近零碳城镇、社区、校园及商业试点工程建设；突出东湖旅游风景区生态系统“碳汇”作用，推进碳排放交易。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3" w:name="_Toc23746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加强农村生态环境综合整治</w:t>
      </w:r>
      <w:bookmarkEnd w:id="3"/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切实推进景中村改造，完善农村环境保护基础设施建设，提升农村生态环境质量；持续推进农村生活污水收集处理系统建设，强化农村生活污水处理设施建设和运行监管，强化全区农村生活污水收集与处理率；加大农村生活垃圾治理力度，实现全区农村生活垃圾全收集、全处理；</w:t>
      </w:r>
      <w:bookmarkStart w:id="4" w:name="_Toc4762"/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加强农业面源污染</w:t>
      </w:r>
      <w:r>
        <w:rPr>
          <w:rFonts w:hint="eastAsia" w:ascii="仿宋" w:hAnsi="仿宋" w:eastAsia="仿宋" w:cs="仿宋"/>
          <w:sz w:val="24"/>
          <w:szCs w:val="24"/>
        </w:rPr>
        <w:t>防控</w:t>
      </w:r>
      <w:bookmarkEnd w:id="4"/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统筹推进秸秆农膜的回收利用，实现农药减量减污。</w:t>
      </w:r>
      <w:bookmarkStart w:id="5" w:name="_Toc17265"/>
      <w:bookmarkStart w:id="6" w:name="_Toc18968"/>
      <w:bookmarkStart w:id="7" w:name="_Toc53218713"/>
      <w:bookmarkStart w:id="8" w:name="_Toc255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强化环境风险防控</w:t>
      </w:r>
      <w:bookmarkEnd w:id="5"/>
      <w:bookmarkEnd w:id="6"/>
      <w:bookmarkEnd w:id="7"/>
      <w:bookmarkEnd w:id="8"/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响应“无废”城市建设，持续落实垃圾减量化、资源化和无害化处置，推动工业固体废物综合利用，实现</w:t>
      </w:r>
      <w:r>
        <w:rPr>
          <w:rFonts w:hint="eastAsia" w:ascii="仿宋" w:hAnsi="仿宋" w:eastAsia="仿宋" w:cs="仿宋"/>
          <w:sz w:val="24"/>
          <w:szCs w:val="24"/>
        </w:rPr>
        <w:t>危险废物100%安全处置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推行生活垃圾分类;加大</w:t>
      </w:r>
      <w:r>
        <w:rPr>
          <w:rFonts w:hint="eastAsia" w:ascii="仿宋" w:hAnsi="仿宋" w:eastAsia="仿宋" w:cs="仿宋"/>
          <w:sz w:val="24"/>
          <w:szCs w:val="24"/>
        </w:rPr>
        <w:t>重点领域重点行业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重金属污染防控力度,提升核与辐射监督管理水平，严格化学物质监管；完善风险防范体系 加强环境健康调查监测、环境风险源调查评估和舆情监测与分析研判，建立全方位的突发环境事件预防和预警体系、提升应急处理能力。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建设现代化生态环境治理体系。严格生态文明绩效评价考核和责任追究，探索生态环境公益诉讼审判机制；落实排污许可制度、推进生态环境损害赔偿制度、完善环境信息公开制度；创新环境治理模式，推进环境污染向“市场化、专业化、产业化”第三方治理发展；</w:t>
      </w:r>
      <w:bookmarkStart w:id="9" w:name="_Toc30648"/>
      <w:bookmarkStart w:id="10" w:name="_Toc26626"/>
      <w:bookmarkStart w:id="11" w:name="_Toc3103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加强环境治理监管体系建设</w:t>
      </w:r>
      <w:bookmarkEnd w:id="9"/>
      <w:bookmarkEnd w:id="10"/>
      <w:bookmarkEnd w:id="1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bookmarkStart w:id="12" w:name="_Toc17108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构建全民环保行动体系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《规划》从加强组织领导、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明确责任分工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强化资金保障、突出</w:t>
      </w:r>
      <w:r>
        <w:rPr>
          <w:rFonts w:hint="eastAsia" w:ascii="仿宋" w:hAnsi="仿宋" w:eastAsia="仿宋" w:cs="仿宋"/>
          <w:sz w:val="24"/>
          <w:szCs w:val="24"/>
        </w:rPr>
        <w:t>公众参与、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加强实施</w:t>
      </w:r>
      <w:r>
        <w:rPr>
          <w:rFonts w:hint="eastAsia" w:ascii="仿宋" w:hAnsi="仿宋" w:eastAsia="仿宋" w:cs="仿宋"/>
          <w:sz w:val="24"/>
          <w:szCs w:val="24"/>
        </w:rPr>
        <w:t>评估等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个方面提出了措施要求。重在压实生态环境保护职责，强化规划执行情况考核评估，合力推动规划各项目标任务落实落地落细。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A9A4F-9504-4DF6-BC16-9BD7F91C81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6F72A"/>
    <w:multiLevelType w:val="multilevel"/>
    <w:tmpl w:val="8816F72A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6882FCAB"/>
    <w:multiLevelType w:val="multilevel"/>
    <w:tmpl w:val="6882FCAB"/>
    <w:lvl w:ilvl="0" w:tentative="0">
      <w:start w:val="1"/>
      <w:numFmt w:val="decimal"/>
      <w:lvlText w:val="%1"/>
      <w:lvlJc w:val="left"/>
      <w:pPr>
        <w:ind w:left="3120" w:firstLine="0"/>
      </w:pPr>
      <w:rPr>
        <w:rFonts w:hint="eastAsia" w:ascii="Times New Roman" w:hAnsi="Times New Roman" w:eastAsia="黑体"/>
        <w:b/>
        <w:i w:val="0"/>
        <w:sz w:val="44"/>
      </w:rPr>
    </w:lvl>
    <w:lvl w:ilvl="1" w:tentative="0">
      <w:start w:val="1"/>
      <w:numFmt w:val="chineseCounting"/>
      <w:pStyle w:val="4"/>
      <w:suff w:val="space"/>
      <w:lvlText w:val="第%2节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b/>
        <w:i w:val="0"/>
        <w:sz w:val="30"/>
      </w:rPr>
    </w:lvl>
    <w:lvl w:ilvl="2" w:tentative="0">
      <w:start w:val="1"/>
      <w:numFmt w:val="chineseCounting"/>
      <w:suff w:val="nothing"/>
      <w:lvlText w:val="（%3）"/>
      <w:lvlJc w:val="left"/>
      <w:pPr>
        <w:ind w:left="1985" w:firstLine="0"/>
      </w:pPr>
      <w:rPr>
        <w:rFonts w:hint="eastAsia" w:ascii="宋体" w:hAnsi="宋体" w:eastAsia="黑体" w:cs="宋体"/>
        <w:b/>
        <w:i w:val="0"/>
        <w:sz w:val="30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Times New Roman" w:hAnsi="Times New Roman" w:eastAsia="宋体"/>
        <w:b w:val="0"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DZjZjEzZjBiN2I0ZjlhNjVkMDc1ODVlNDJjNzEifQ=="/>
  </w:docVars>
  <w:rsids>
    <w:rsidRoot w:val="00000000"/>
    <w:rsid w:val="1C526793"/>
    <w:rsid w:val="30BD7F9D"/>
    <w:rsid w:val="3D82407B"/>
    <w:rsid w:val="6AA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340" w:after="330" w:line="579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2"/>
      </w:numPr>
      <w:tabs>
        <w:tab w:val="left" w:pos="283"/>
      </w:tabs>
      <w:spacing w:before="260" w:after="260" w:line="416" w:lineRule="auto"/>
      <w:jc w:val="left"/>
      <w:outlineLvl w:val="1"/>
    </w:pPr>
    <w:rPr>
      <w:rFonts w:ascii="Times New Roman" w:hAnsi="Times New Roman" w:eastAsia="黑体" w:cstheme="majorBidi"/>
      <w:b/>
      <w:bCs/>
      <w:sz w:val="30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2"/>
    <w:basedOn w:val="1"/>
    <w:qFormat/>
    <w:uiPriority w:val="0"/>
    <w:pPr>
      <w:ind w:firstLine="200" w:firstLineChars="200"/>
    </w:pPr>
    <w:rPr>
      <w:rFonts w:eastAsia="宋体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封面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List Paragraph_a7861cf5-61f2-45e2-9eb6-3a5ace229ed7"/>
    <w:basedOn w:val="1"/>
    <w:qFormat/>
    <w:uiPriority w:val="34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11">
    <w:name w:val="7级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2261</Words>
  <Characters>2282</Characters>
  <Lines>0</Lines>
  <Paragraphs>0</Paragraphs>
  <TotalTime>0</TotalTime>
  <ScaleCrop>false</ScaleCrop>
  <LinksUpToDate>false</LinksUpToDate>
  <CharactersWithSpaces>2283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2022-10-19T01:36:00Z</dcterms:created>
  <dc:creator>Genie</dc:creator>
  <cp:lastModifiedBy>汪祺</cp:lastModifiedBy>
  <dcterms:modified xsi:type="dcterms:W3CDTF">2022-10-21T01:37:29Z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2D99791B7ED2416FB32FCB3404FA144F</vt:lpwstr>
  </property>
</Properties>
</file>