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432" w:lineRule="auto"/>
        <w:jc w:val="both"/>
        <w:rPr>
          <w:rFonts w:ascii="宋体" w:hAnsi="宋体" w:eastAsia="宋体" w:cs="宋体"/>
          <w:b/>
          <w:bCs/>
          <w:color w:val="333333"/>
          <w:sz w:val="36"/>
          <w:szCs w:val="36"/>
        </w:rPr>
      </w:pPr>
    </w:p>
    <w:p>
      <w:pPr>
        <w:pStyle w:val="4"/>
        <w:widowControl/>
        <w:spacing w:line="432" w:lineRule="auto"/>
        <w:ind w:firstLine="420"/>
        <w:jc w:val="center"/>
        <w:rPr>
          <w:rFonts w:ascii="宋体" w:hAnsi="宋体" w:eastAsia="宋体" w:cs="宋体"/>
          <w:sz w:val="44"/>
          <w:szCs w:val="44"/>
        </w:rPr>
      </w:pPr>
      <w:r>
        <w:rPr>
          <w:rFonts w:hint="eastAsia" w:ascii="宋体" w:hAnsi="宋体" w:eastAsia="宋体" w:cs="宋体"/>
          <w:sz w:val="44"/>
          <w:szCs w:val="44"/>
        </w:rPr>
        <w:t>东湖风景区城管执法局2022年政府信息公开工作年度报告</w:t>
      </w:r>
    </w:p>
    <w:p>
      <w:pPr>
        <w:pStyle w:val="4"/>
        <w:widowControl/>
        <w:spacing w:line="432" w:lineRule="auto"/>
        <w:ind w:firstLine="420"/>
        <w:jc w:val="center"/>
        <w:rPr>
          <w:rFonts w:ascii="宋体" w:hAnsi="宋体" w:eastAsia="宋体" w:cs="宋体"/>
          <w:sz w:val="44"/>
          <w:szCs w:val="44"/>
        </w:rPr>
      </w:pPr>
    </w:p>
    <w:p>
      <w:pPr>
        <w:pStyle w:val="4"/>
        <w:widowControl/>
        <w:spacing w:line="560" w:lineRule="exact"/>
        <w:ind w:firstLine="640" w:firstLineChars="200"/>
        <w:jc w:val="both"/>
        <w:rPr>
          <w:rFonts w:ascii="黑体" w:hAnsi="黑体" w:eastAsia="黑体" w:cs="黑体"/>
          <w:sz w:val="32"/>
          <w:szCs w:val="32"/>
        </w:rPr>
      </w:pPr>
      <w:r>
        <w:rPr>
          <w:rFonts w:hint="eastAsia" w:ascii="黑体" w:hAnsi="黑体" w:eastAsia="黑体" w:cs="黑体"/>
          <w:color w:val="333333"/>
          <w:sz w:val="32"/>
          <w:szCs w:val="32"/>
        </w:rPr>
        <w:t>一、总体情况</w:t>
      </w:r>
    </w:p>
    <w:p>
      <w:pPr>
        <w:pStyle w:val="4"/>
        <w:widowControl/>
        <w:spacing w:line="560" w:lineRule="exact"/>
        <w:ind w:firstLine="42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2022年，我局在市、区政府的坚强领导下，以习近平新时代中国特色社会主义思想为指导，全面贯彻党的十九大和二十大</w:t>
      </w:r>
      <w:r>
        <w:rPr>
          <w:rFonts w:ascii="仿宋_GB2312" w:hAnsi="仿宋_GB2312" w:eastAsia="仿宋_GB2312" w:cs="仿宋_GB2312"/>
          <w:color w:val="000000"/>
          <w:sz w:val="32"/>
          <w:szCs w:val="32"/>
        </w:rPr>
        <w:t>精神，坚持以人民为中心的发展思想</w:t>
      </w:r>
      <w:r>
        <w:rPr>
          <w:rFonts w:hint="eastAsia" w:ascii="仿宋_GB2312" w:hAnsi="仿宋_GB2312" w:eastAsia="仿宋_GB2312" w:cs="仿宋_GB2312"/>
          <w:color w:val="000000"/>
          <w:sz w:val="32"/>
          <w:szCs w:val="32"/>
        </w:rPr>
        <w:t>，认真贯彻落实《中华人民共和国政府信息公开条例》（以下简称《条例》）和市、区工作部署要求，坚持以公开透明、公平公正为主线，以服务中心、方便群众为立足点，以促进权力公开透明运行和重点领域信息公开工作为重点，围绕中心、贴近民生、强化措施，依法、及时、准确地公开相关政府信息，推进政府信息公开工作深入开展。</w:t>
      </w:r>
    </w:p>
    <w:p>
      <w:pPr>
        <w:pStyle w:val="4"/>
        <w:widowControl/>
        <w:spacing w:line="560" w:lineRule="exact"/>
        <w:ind w:firstLine="42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Style w:val="7"/>
          <w:rFonts w:hint="eastAsia" w:ascii="仿宋_GB2312" w:hAnsi="仿宋_GB2312" w:eastAsia="仿宋_GB2312" w:cs="仿宋_GB2312"/>
          <w:bCs/>
          <w:color w:val="000000"/>
          <w:sz w:val="32"/>
          <w:szCs w:val="32"/>
        </w:rPr>
        <w:t>主动公开情况</w:t>
      </w:r>
    </w:p>
    <w:p>
      <w:pPr>
        <w:pStyle w:val="4"/>
        <w:widowControl/>
        <w:spacing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全年共计主动公开信息14件，其中执法公开12件，其他类型2件。在东湖风景区政府网站标准化页面中及时公开我局机构职能及人员设置情况、部门预决算情况、政策性文件等内容。</w:t>
      </w:r>
    </w:p>
    <w:p>
      <w:pPr>
        <w:pStyle w:val="4"/>
        <w:widowControl/>
        <w:spacing w:line="560" w:lineRule="exact"/>
        <w:ind w:firstLine="420"/>
        <w:textAlignment w:val="baseline"/>
        <w:rPr>
          <w:rStyle w:val="7"/>
          <w:rFonts w:ascii="仿宋_GB2312" w:hAnsi="仿宋_GB2312" w:eastAsia="仿宋_GB2312" w:cs="仿宋_GB2312"/>
          <w:bCs/>
          <w:color w:val="000000"/>
          <w:sz w:val="32"/>
          <w:szCs w:val="32"/>
        </w:rPr>
      </w:pPr>
      <w:r>
        <w:rPr>
          <w:rStyle w:val="7"/>
          <w:rFonts w:hint="eastAsia" w:ascii="仿宋_GB2312" w:hAnsi="仿宋_GB2312" w:eastAsia="仿宋_GB2312" w:cs="仿宋_GB2312"/>
          <w:bCs/>
          <w:color w:val="000000"/>
          <w:sz w:val="32"/>
          <w:szCs w:val="32"/>
        </w:rPr>
        <w:t>（二）依申请公开方面</w:t>
      </w:r>
    </w:p>
    <w:p>
      <w:pPr>
        <w:pStyle w:val="4"/>
        <w:widowControl/>
        <w:spacing w:line="560" w:lineRule="exact"/>
        <w:ind w:firstLine="42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我局进一步完善政府信息公开申请登记、审核、办理、答复、归档等工作制度。202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年，我局未收到依申请公开申请，全年没有发生因政府信息公开引起的行政复议和行政诉讼。</w:t>
      </w:r>
    </w:p>
    <w:p>
      <w:pPr>
        <w:pStyle w:val="4"/>
        <w:widowControl/>
        <w:spacing w:line="560" w:lineRule="exact"/>
        <w:ind w:firstLine="420"/>
        <w:textAlignment w:val="baseline"/>
        <w:rPr>
          <w:rFonts w:ascii="仿宋_GB2312" w:hAnsi="仿宋_GB2312" w:eastAsia="仿宋_GB2312" w:cs="仿宋_GB2312"/>
          <w:b/>
          <w:bCs/>
          <w:color w:val="000000"/>
          <w:sz w:val="32"/>
          <w:szCs w:val="32"/>
        </w:rPr>
      </w:pPr>
      <w:r>
        <w:rPr>
          <w:rStyle w:val="7"/>
          <w:rFonts w:hint="eastAsia" w:ascii="仿宋_GB2312" w:hAnsi="仿宋_GB2312" w:eastAsia="仿宋_GB2312" w:cs="仿宋_GB2312"/>
          <w:bCs/>
          <w:color w:val="000000"/>
          <w:sz w:val="32"/>
          <w:szCs w:val="32"/>
        </w:rPr>
        <w:t>(三）政府信息公开平台建设方面</w:t>
      </w:r>
    </w:p>
    <w:p>
      <w:pPr>
        <w:pStyle w:val="4"/>
        <w:widowControl/>
        <w:spacing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按要求做好各类栏目信息发布频率管理工作，确保网站信息发布内容准确、格式规范，并积极利用新媒体，通过微信、微博、抖音及时发布相关信息。</w:t>
      </w:r>
    </w:p>
    <w:p>
      <w:pPr>
        <w:pStyle w:val="4"/>
        <w:widowControl/>
        <w:spacing w:line="560" w:lineRule="exact"/>
        <w:ind w:firstLine="420"/>
        <w:textAlignment w:val="baseline"/>
        <w:rPr>
          <w:rFonts w:ascii="仿宋_GB2312" w:hAnsi="仿宋_GB2312" w:eastAsia="仿宋_GB2312" w:cs="仿宋_GB2312"/>
          <w:b/>
          <w:bCs/>
          <w:color w:val="000000"/>
          <w:sz w:val="32"/>
          <w:szCs w:val="32"/>
        </w:rPr>
      </w:pPr>
      <w:r>
        <w:rPr>
          <w:rStyle w:val="7"/>
          <w:rFonts w:hint="eastAsia" w:ascii="仿宋_GB2312" w:hAnsi="仿宋_GB2312" w:eastAsia="仿宋_GB2312" w:cs="仿宋_GB2312"/>
          <w:bCs/>
          <w:color w:val="000000"/>
          <w:sz w:val="32"/>
          <w:szCs w:val="32"/>
        </w:rPr>
        <w:t>（四）监督保障方面</w:t>
      </w:r>
    </w:p>
    <w:p>
      <w:pPr>
        <w:pStyle w:val="4"/>
        <w:widowControl/>
        <w:spacing w:line="56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贯彻落实《中华人民共和国政府信息公开条例》，掌握新条例法定条文和时点时限要求，完善内部处置流转机制，确保各项规定落到实处。对政务信息的公开加强把关，确保公开信息的准确性、时效性、完整性。</w:t>
      </w:r>
    </w:p>
    <w:p>
      <w:pPr>
        <w:pStyle w:val="4"/>
        <w:widowControl/>
        <w:spacing w:line="560" w:lineRule="exact"/>
        <w:ind w:firstLine="420"/>
        <w:textAlignment w:val="baseline"/>
        <w:rPr>
          <w:rStyle w:val="7"/>
          <w:rFonts w:ascii="仿宋_GB2312" w:hAnsi="仿宋_GB2312" w:eastAsia="仿宋_GB2312" w:cs="仿宋_GB2312"/>
          <w:bCs/>
          <w:color w:val="000000"/>
          <w:sz w:val="32"/>
          <w:szCs w:val="32"/>
        </w:rPr>
      </w:pPr>
      <w:r>
        <w:rPr>
          <w:rStyle w:val="7"/>
          <w:rFonts w:hint="eastAsia" w:ascii="仿宋_GB2312" w:hAnsi="仿宋_GB2312" w:eastAsia="仿宋_GB2312" w:cs="仿宋_GB2312"/>
          <w:bCs/>
          <w:color w:val="000000"/>
          <w:sz w:val="32"/>
          <w:szCs w:val="32"/>
        </w:rPr>
        <w:t>（五）主要经验做法</w:t>
      </w:r>
    </w:p>
    <w:p>
      <w:pPr>
        <w:pStyle w:val="4"/>
        <w:widowControl/>
        <w:spacing w:line="560" w:lineRule="exact"/>
        <w:ind w:firstLine="42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信息公开工作机制不断健全。建立了“主要领导亲自抓，分管领导具体抓，专门机构抓落实”的工作机制，为政府信息公开工作的不断深化提供了组织保障。指定专人负责信息公开具体工作，信息公开答复需经科室负责人、分管领导、主要领导审核，做到信息公开工作的准确及时。</w:t>
      </w:r>
    </w:p>
    <w:p>
      <w:pPr>
        <w:pStyle w:val="4"/>
        <w:widowControl/>
        <w:spacing w:line="560" w:lineRule="exact"/>
        <w:ind w:firstLine="42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主动公开信息力度不断加大。紧紧围绕今年信息公开工作重点，深化公开内容，主动公开政府信息的力度不断加大。加大执法政策的公开力度，增强公开实效，保障人民群众的知情权、参与权、表达权和监督权，为服务和促进我区“依法行政”营造良好的政务环境。</w:t>
      </w: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二、主动公开政府信息情况</w:t>
      </w:r>
    </w:p>
    <w:tbl>
      <w:tblPr>
        <w:tblStyle w:val="5"/>
        <w:tblW w:w="5000" w:type="pct"/>
        <w:jc w:val="center"/>
        <w:tblLayout w:type="autofit"/>
        <w:tblCellMar>
          <w:top w:w="0" w:type="dxa"/>
          <w:left w:w="0" w:type="dxa"/>
          <w:bottom w:w="0" w:type="dxa"/>
          <w:right w:w="0" w:type="dxa"/>
        </w:tblCellMar>
      </w:tblPr>
      <w:tblGrid>
        <w:gridCol w:w="2105"/>
        <w:gridCol w:w="2105"/>
        <w:gridCol w:w="2105"/>
        <w:gridCol w:w="2105"/>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第二十条第（一）项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本年</w:t>
            </w:r>
            <w:r>
              <w:rPr>
                <w:rFonts w:hint="eastAsia" w:ascii="宋体" w:hAnsi="宋体" w:eastAsia="宋体" w:cs="宋体"/>
                <w:color w:val="333333"/>
                <w:kern w:val="0"/>
                <w:szCs w:val="21"/>
                <w:lang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现行有效件</w:t>
            </w:r>
            <w:r>
              <w:rPr>
                <w:rFonts w:hint="eastAsia" w:ascii="宋体" w:hAnsi="宋体" w:eastAsia="宋体" w:cs="宋体"/>
                <w:color w:val="333333"/>
                <w:kern w:val="0"/>
                <w:szCs w:val="21"/>
                <w:lang w:bidi="ar"/>
              </w:rPr>
              <w:t>数</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lang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color w:val="333333"/>
                <w:szCs w:val="21"/>
                <w:lang w:bidi="ar"/>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lang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color w:val="333333"/>
                <w:szCs w:val="21"/>
                <w:lang w:bidi="ar"/>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第二十条第（五）项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lang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Calibri" w:hAnsi="Calibri" w:eastAsia="宋体" w:cs="Calibri"/>
                <w:color w:val="333333"/>
                <w:szCs w:val="21"/>
                <w:lang w:bidi="ar"/>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第二十条第（六）项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lang w:bidi="ar"/>
              </w:rPr>
              <w:t>行政处罚</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172</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lang w:bidi="ar"/>
              </w:rPr>
              <w:t>行政强制</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第二十条第（八）项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lang w:bidi="ar"/>
              </w:rPr>
              <w:t>本年收费金额（单位：万元）</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lang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宋体" w:hAnsi="宋体" w:eastAsia="宋体" w:cs="宋体"/>
                <w:color w:val="333333"/>
                <w:szCs w:val="21"/>
              </w:rPr>
            </w:pPr>
            <w:r>
              <w:rPr>
                <w:rFonts w:hint="eastAsia" w:ascii="宋体" w:hAnsi="宋体" w:eastAsia="宋体" w:cs="宋体"/>
                <w:color w:val="333333"/>
                <w:szCs w:val="21"/>
              </w:rPr>
              <w:t>0</w:t>
            </w:r>
          </w:p>
        </w:tc>
      </w:tr>
    </w:tbl>
    <w:p>
      <w:pPr>
        <w:widowControl/>
        <w:jc w:val="left"/>
      </w:pP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三、收到和处理政府信息公开申请情况</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53"/>
        <w:gridCol w:w="797"/>
        <w:gridCol w:w="2845"/>
        <w:gridCol w:w="595"/>
        <w:gridCol w:w="595"/>
        <w:gridCol w:w="595"/>
        <w:gridCol w:w="595"/>
        <w:gridCol w:w="595"/>
        <w:gridCol w:w="637"/>
        <w:gridCol w:w="5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widowControl/>
              <w:spacing w:line="30" w:lineRule="atLeast"/>
              <w:jc w:val="left"/>
            </w:pPr>
            <w:r>
              <w:rPr>
                <w:rFonts w:hint="eastAsia" w:ascii="楷体" w:hAnsi="楷体" w:eastAsia="楷体" w:cs="楷体"/>
                <w:color w:val="333333"/>
                <w:kern w:val="0"/>
                <w:sz w:val="20"/>
                <w:szCs w:val="20"/>
                <w:lang w:bidi="ar"/>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自然人</w:t>
            </w:r>
          </w:p>
        </w:tc>
        <w:tc>
          <w:tcPr>
            <w:tcW w:w="1780" w:type="pct"/>
            <w:gridSpan w:val="5"/>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法人或其他组织</w:t>
            </w:r>
          </w:p>
        </w:tc>
        <w:tc>
          <w:tcPr>
            <w:tcW w:w="333" w:type="pct"/>
            <w:vMerge w:val="restart"/>
            <w:tcBorders>
              <w:top w:val="single" w:color="auto" w:sz="8" w:space="0"/>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333333"/>
                <w:szCs w:val="21"/>
              </w:rPr>
            </w:pP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商业</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企业</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科研</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法律服务机构</w:t>
            </w:r>
          </w:p>
        </w:tc>
        <w:tc>
          <w:tcPr>
            <w:tcW w:w="375"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其他</w:t>
            </w:r>
          </w:p>
        </w:tc>
        <w:tc>
          <w:tcPr>
            <w:tcW w:w="333"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ascii="宋体" w:hAnsi="宋体" w:eastAsia="宋体" w:cs="宋体"/>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三、本年度办理结果</w:t>
            </w:r>
          </w:p>
        </w:tc>
        <w:tc>
          <w:tcPr>
            <w:tcW w:w="2150"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（一）予以公开</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0"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（三）不予公开</w:t>
            </w: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1.属于国家秘密</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2.其他法律行政法规禁止公开</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（四）无法提供</w:t>
            </w: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（五）不予处理</w:t>
            </w: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outset" w:color="auto" w:sz="6"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color w:val="333333"/>
                <w:kern w:val="0"/>
                <w:szCs w:val="21"/>
                <w:lang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（六）其他处理</w:t>
            </w:r>
          </w:p>
        </w:tc>
        <w:tc>
          <w:tcPr>
            <w:tcW w:w="1680"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color w:val="333333"/>
                <w:kern w:val="0"/>
                <w:szCs w:val="21"/>
                <w:lang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color w:val="333333"/>
                <w:kern w:val="0"/>
                <w:szCs w:val="21"/>
                <w:lang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3.其他</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0"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（七）总计</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75"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ascii="宋体" w:hAnsi="宋体" w:eastAsia="宋体" w:cs="宋体"/>
                <w:color w:val="333333"/>
                <w:kern w:val="0"/>
                <w:szCs w:val="21"/>
                <w:lang w:bidi="ar"/>
              </w:rPr>
              <w:t>0</w:t>
            </w:r>
          </w:p>
        </w:tc>
        <w:tc>
          <w:tcPr>
            <w:tcW w:w="333" w:type="pct"/>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333333"/>
                <w:szCs w:val="21"/>
              </w:rPr>
            </w:pPr>
            <w:r>
              <w:rPr>
                <w:rFonts w:ascii="宋体" w:hAnsi="宋体" w:eastAsia="宋体" w:cs="宋体"/>
                <w:color w:val="333333"/>
                <w:kern w:val="0"/>
                <w:szCs w:val="21"/>
                <w:lang w:bidi="ar"/>
              </w:rPr>
              <w:t>0</w:t>
            </w:r>
          </w:p>
        </w:tc>
      </w:tr>
    </w:tbl>
    <w:p>
      <w:pPr>
        <w:widowControl/>
        <w:spacing w:line="432" w:lineRule="auto"/>
        <w:jc w:val="center"/>
        <w:rPr>
          <w:rFonts w:ascii="宋体" w:hAnsi="宋体" w:eastAsia="宋体" w:cs="宋体"/>
          <w:color w:val="333333"/>
          <w:sz w:val="24"/>
        </w:rPr>
      </w:pPr>
    </w:p>
    <w:p>
      <w:pPr>
        <w:pStyle w:val="4"/>
        <w:widowControl/>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四、政府信息公开行政复议、行政诉讼情况</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4"/>
        <w:gridCol w:w="564"/>
        <w:gridCol w:w="564"/>
        <w:gridCol w:w="578"/>
        <w:gridCol w:w="566"/>
        <w:gridCol w:w="566"/>
        <w:gridCol w:w="566"/>
        <w:gridCol w:w="566"/>
        <w:gridCol w:w="576"/>
        <w:gridCol w:w="566"/>
        <w:gridCol w:w="566"/>
        <w:gridCol w:w="567"/>
        <w:gridCol w:w="567"/>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lang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lang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结果</w:t>
            </w:r>
          </w:p>
          <w:p>
            <w:pPr>
              <w:widowControl/>
              <w:spacing w:line="30" w:lineRule="atLeast"/>
              <w:jc w:val="center"/>
            </w:pPr>
            <w:r>
              <w:rPr>
                <w:rFonts w:hint="eastAsia" w:ascii="宋体" w:hAnsi="宋体" w:eastAsia="宋体" w:cs="宋体"/>
                <w:color w:val="333333"/>
                <w:kern w:val="0"/>
                <w:sz w:val="20"/>
                <w:szCs w:val="20"/>
                <w:lang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其他</w:t>
            </w:r>
          </w:p>
          <w:p>
            <w:pPr>
              <w:widowControl/>
              <w:spacing w:line="30" w:lineRule="atLeast"/>
              <w:jc w:val="center"/>
            </w:pPr>
            <w:r>
              <w:rPr>
                <w:rFonts w:hint="eastAsia" w:ascii="宋体" w:hAnsi="宋体" w:eastAsia="宋体" w:cs="宋体"/>
                <w:color w:val="333333"/>
                <w:kern w:val="0"/>
                <w:sz w:val="20"/>
                <w:szCs w:val="20"/>
                <w:lang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尚未</w:t>
            </w:r>
          </w:p>
          <w:p>
            <w:pPr>
              <w:widowControl/>
              <w:spacing w:line="30" w:lineRule="atLeast"/>
              <w:jc w:val="center"/>
            </w:pPr>
            <w:r>
              <w:rPr>
                <w:rFonts w:hint="eastAsia" w:ascii="宋体" w:hAnsi="宋体" w:eastAsia="宋体" w:cs="宋体"/>
                <w:color w:val="333333"/>
                <w:kern w:val="0"/>
                <w:sz w:val="20"/>
                <w:szCs w:val="20"/>
                <w:lang w:bidi="ar"/>
              </w:rPr>
              <w:t>审结</w:t>
            </w:r>
          </w:p>
        </w:tc>
        <w:tc>
          <w:tcPr>
            <w:tcW w:w="3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lang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lang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结果</w:t>
            </w:r>
          </w:p>
          <w:p>
            <w:pPr>
              <w:widowControl/>
              <w:spacing w:line="30" w:lineRule="atLeast"/>
              <w:jc w:val="center"/>
            </w:pPr>
            <w:r>
              <w:rPr>
                <w:rFonts w:hint="eastAsia" w:ascii="宋体" w:hAnsi="宋体" w:eastAsia="宋体" w:cs="宋体"/>
                <w:color w:val="333333"/>
                <w:kern w:val="0"/>
                <w:sz w:val="20"/>
                <w:szCs w:val="20"/>
                <w:lang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结果</w:t>
            </w:r>
          </w:p>
          <w:p>
            <w:pPr>
              <w:widowControl/>
              <w:spacing w:line="30" w:lineRule="atLeast"/>
              <w:jc w:val="center"/>
            </w:pPr>
            <w:r>
              <w:rPr>
                <w:rFonts w:hint="eastAsia" w:ascii="宋体" w:hAnsi="宋体" w:eastAsia="宋体" w:cs="宋体"/>
                <w:color w:val="333333"/>
                <w:kern w:val="0"/>
                <w:sz w:val="20"/>
                <w:szCs w:val="20"/>
                <w:lang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其他</w:t>
            </w:r>
          </w:p>
          <w:p>
            <w:pPr>
              <w:widowControl/>
              <w:spacing w:line="30" w:lineRule="atLeast"/>
              <w:jc w:val="center"/>
            </w:pPr>
            <w:r>
              <w:rPr>
                <w:rFonts w:hint="eastAsia" w:ascii="宋体" w:hAnsi="宋体" w:eastAsia="宋体" w:cs="宋体"/>
                <w:color w:val="333333"/>
                <w:kern w:val="0"/>
                <w:sz w:val="20"/>
                <w:szCs w:val="20"/>
                <w:lang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尚未</w:t>
            </w:r>
          </w:p>
          <w:p>
            <w:pPr>
              <w:widowControl/>
              <w:spacing w:line="30" w:lineRule="atLeast"/>
              <w:jc w:val="center"/>
            </w:pPr>
            <w:r>
              <w:rPr>
                <w:rFonts w:hint="eastAsia" w:ascii="宋体" w:hAnsi="宋体" w:eastAsia="宋体" w:cs="宋体"/>
                <w:color w:val="333333"/>
                <w:kern w:val="0"/>
                <w:sz w:val="20"/>
                <w:szCs w:val="20"/>
                <w:lang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lang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结果</w:t>
            </w:r>
          </w:p>
          <w:p>
            <w:pPr>
              <w:widowControl/>
              <w:spacing w:line="30" w:lineRule="atLeast"/>
              <w:jc w:val="center"/>
            </w:pPr>
            <w:r>
              <w:rPr>
                <w:rFonts w:hint="eastAsia" w:ascii="宋体" w:hAnsi="宋体" w:eastAsia="宋体" w:cs="宋体"/>
                <w:color w:val="333333"/>
                <w:kern w:val="0"/>
                <w:sz w:val="20"/>
                <w:szCs w:val="20"/>
                <w:lang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结果</w:t>
            </w:r>
          </w:p>
          <w:p>
            <w:pPr>
              <w:widowControl/>
              <w:spacing w:line="30" w:lineRule="atLeast"/>
              <w:jc w:val="center"/>
            </w:pPr>
            <w:r>
              <w:rPr>
                <w:rFonts w:hint="eastAsia" w:ascii="宋体" w:hAnsi="宋体" w:eastAsia="宋体" w:cs="宋体"/>
                <w:color w:val="333333"/>
                <w:kern w:val="0"/>
                <w:sz w:val="20"/>
                <w:szCs w:val="20"/>
                <w:lang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w:t>
            </w:r>
          </w:p>
          <w:p>
            <w:pPr>
              <w:widowControl/>
              <w:spacing w:line="30" w:lineRule="atLeast"/>
              <w:jc w:val="center"/>
            </w:pPr>
            <w:r>
              <w:rPr>
                <w:rFonts w:hint="eastAsia" w:ascii="宋体" w:hAnsi="宋体" w:eastAsia="宋体" w:cs="宋体"/>
                <w:color w:val="000000"/>
                <w:kern w:val="0"/>
                <w:sz w:val="20"/>
                <w:szCs w:val="20"/>
                <w:lang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ascii="宋体" w:hAnsi="宋体" w:eastAsia="宋体" w:cs="宋体"/>
                <w:color w:val="333333"/>
                <w:kern w:val="0"/>
                <w:sz w:val="20"/>
                <w:szCs w:val="20"/>
                <w:lang w:bidi="ar"/>
              </w:rPr>
            </w:pPr>
            <w:r>
              <w:rPr>
                <w:rFonts w:hint="eastAsia" w:ascii="宋体" w:hAnsi="宋体" w:eastAsia="宋体" w:cs="宋体"/>
                <w:color w:val="333333"/>
                <w:kern w:val="0"/>
                <w:sz w:val="20"/>
                <w:szCs w:val="20"/>
                <w:lang w:bidi="ar"/>
              </w:rPr>
              <w:t>尚未</w:t>
            </w:r>
          </w:p>
          <w:p>
            <w:pPr>
              <w:widowControl/>
              <w:spacing w:line="30" w:lineRule="atLeast"/>
              <w:jc w:val="center"/>
            </w:pPr>
            <w:r>
              <w:rPr>
                <w:rFonts w:hint="eastAsia" w:ascii="宋体" w:hAnsi="宋体" w:eastAsia="宋体" w:cs="宋体"/>
                <w:color w:val="333333"/>
                <w:kern w:val="0"/>
                <w:sz w:val="20"/>
                <w:szCs w:val="20"/>
                <w:lang w:bidi="ar"/>
              </w:rPr>
              <w:t>审结</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黑体" w:hAnsi="宋体" w:eastAsia="黑体" w:cs="黑体"/>
                <w:color w:val="333333"/>
                <w:sz w:val="20"/>
                <w:szCs w:val="20"/>
                <w:lang w:bidi="ar"/>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333333"/>
                <w:szCs w:val="21"/>
              </w:rPr>
            </w:pPr>
            <w:r>
              <w:rPr>
                <w:rFonts w:hint="eastAsia" w:ascii="宋体" w:hAnsi="宋体" w:eastAsia="宋体" w:cs="宋体"/>
                <w:color w:val="333333"/>
                <w:szCs w:val="21"/>
              </w:rPr>
              <w:t>0</w:t>
            </w:r>
          </w:p>
        </w:tc>
      </w:tr>
    </w:tbl>
    <w:p>
      <w:pPr>
        <w:widowControl/>
        <w:jc w:val="left"/>
      </w:pPr>
    </w:p>
    <w:p>
      <w:pPr>
        <w:pStyle w:val="4"/>
        <w:widowControl/>
        <w:spacing w:line="560" w:lineRule="exact"/>
        <w:ind w:firstLine="640" w:firstLineChars="200"/>
        <w:jc w:val="both"/>
        <w:rPr>
          <w:rFonts w:ascii="仿宋" w:hAnsi="仿宋" w:eastAsia="仿宋" w:cs="仿宋"/>
          <w:sz w:val="32"/>
          <w:szCs w:val="32"/>
        </w:rPr>
      </w:pPr>
      <w:r>
        <w:rPr>
          <w:rFonts w:hint="eastAsia" w:ascii="黑体" w:hAnsi="黑体" w:eastAsia="黑体" w:cs="黑体"/>
          <w:color w:val="333333"/>
          <w:sz w:val="32"/>
          <w:szCs w:val="32"/>
        </w:rPr>
        <w:t>五、存在的主要问题及改进情况</w:t>
      </w:r>
    </w:p>
    <w:p>
      <w:pPr>
        <w:pStyle w:val="4"/>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（一）上年度存在问题及改进情况</w:t>
      </w:r>
    </w:p>
    <w:p>
      <w:pPr>
        <w:pStyle w:val="4"/>
        <w:widowControl/>
        <w:spacing w:line="560" w:lineRule="exact"/>
        <w:ind w:firstLine="651"/>
        <w:jc w:val="both"/>
        <w:rPr>
          <w:rFonts w:ascii="仿宋_GB2312" w:hAnsi="仿宋" w:eastAsia="仿宋_GB2312" w:cs="仿宋"/>
          <w:sz w:val="32"/>
          <w:szCs w:val="32"/>
        </w:rPr>
      </w:pPr>
      <w:r>
        <w:rPr>
          <w:rFonts w:hint="eastAsia" w:ascii="仿宋_GB2312" w:hAnsi="仿宋" w:eastAsia="仿宋_GB2312" w:cs="仿宋"/>
          <w:sz w:val="32"/>
          <w:szCs w:val="32"/>
        </w:rPr>
        <w:t>2021年度我局政府信息公开工作中各部门之间的协调与联系不够紧密，</w:t>
      </w:r>
      <w:r>
        <w:rPr>
          <w:rFonts w:ascii="仿宋_GB2312" w:hAnsi="仿宋" w:eastAsia="仿宋_GB2312" w:cs="仿宋"/>
          <w:sz w:val="32"/>
          <w:szCs w:val="32"/>
        </w:rPr>
        <w:t xml:space="preserve"> </w:t>
      </w:r>
      <w:r>
        <w:rPr>
          <w:rFonts w:hint="eastAsia" w:ascii="仿宋_GB2312" w:hAnsi="仿宋" w:eastAsia="仿宋_GB2312" w:cs="仿宋"/>
          <w:sz w:val="32"/>
          <w:szCs w:val="32"/>
        </w:rPr>
        <w:t>热点信息发布力度还有待加强。</w:t>
      </w:r>
    </w:p>
    <w:p>
      <w:pPr>
        <w:pStyle w:val="4"/>
        <w:widowControl/>
        <w:spacing w:line="560" w:lineRule="exact"/>
        <w:ind w:firstLine="651"/>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针对上述问题，我局一是继续健全和完善政务信息公开长效机制，加强各个部门之间的沟通，定时收集各部门信息进行汇总更新。二是充实和拓宽政府信息的公</w:t>
      </w:r>
      <w:bookmarkStart w:id="0" w:name="_GoBack"/>
      <w:bookmarkEnd w:id="0"/>
      <w:r>
        <w:rPr>
          <w:rFonts w:hint="eastAsia" w:ascii="仿宋_GB2312" w:hAnsi="仿宋_GB2312" w:eastAsia="仿宋_GB2312" w:cs="仿宋_GB2312"/>
          <w:kern w:val="2"/>
          <w:sz w:val="32"/>
          <w:szCs w:val="32"/>
        </w:rPr>
        <w:t>开内容与渠道，不断充实政府信息公开内容，加强重点领域信息公开力度。</w:t>
      </w:r>
    </w:p>
    <w:p>
      <w:pPr>
        <w:pStyle w:val="4"/>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（二）本年度存在问题及改进措施</w:t>
      </w:r>
    </w:p>
    <w:p>
      <w:pPr>
        <w:pStyle w:val="4"/>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2022年，我局在政府信息公开工作方面取得了一定的成绩，但仍存在一些问题和不足，主要是:</w:t>
      </w:r>
      <w:r>
        <w:rPr>
          <w:rFonts w:hint="eastAsia"/>
        </w:rPr>
        <w:t xml:space="preserve"> </w:t>
      </w:r>
      <w:r>
        <w:rPr>
          <w:rFonts w:hint="eastAsia" w:ascii="仿宋_GB2312" w:hAnsi="仿宋_GB2312" w:eastAsia="仿宋_GB2312" w:cs="仿宋_GB2312"/>
          <w:kern w:val="2"/>
          <w:sz w:val="32"/>
          <w:szCs w:val="32"/>
        </w:rPr>
        <w:t>信息更新不够及时，信息公开方式较传统等。</w:t>
      </w:r>
    </w:p>
    <w:p>
      <w:pPr>
        <w:pStyle w:val="4"/>
        <w:widowControl/>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下一步，我局将持续贯彻落实《条例》规定和上级有关工作部署要求，紧密围绕城市精细化治理，以公开促落实，以公开促规范。进一步加强政府信息公开宣传，规范和完善政务公开的内容、形式，对涉及人民群众关心的重大事项、重大决策及时公开；同时健全检查制度、责任追究制度、反馈制度，确保把政府公开工作落到实处。</w:t>
      </w: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六、其他需要报告的事项</w:t>
      </w:r>
    </w:p>
    <w:p>
      <w:pPr>
        <w:ind w:firstLine="640" w:firstLineChars="200"/>
      </w:pPr>
      <w:r>
        <w:rPr>
          <w:rFonts w:hint="eastAsia" w:ascii="仿宋" w:hAnsi="仿宋" w:eastAsia="仿宋" w:cs="仿宋"/>
          <w:kern w:val="0"/>
          <w:sz w:val="32"/>
          <w:szCs w:val="32"/>
        </w:rPr>
        <w:t>收取信息处理费的情况：本年度无发出收费通知，无收取信息处理费用。</w:t>
      </w:r>
    </w:p>
    <w:p>
      <w:pP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东湖生态旅游风景区管理委员会</w:t>
      </w:r>
    </w:p>
    <w:p>
      <w:pPr>
        <w:jc w:val="center"/>
        <w:rPr>
          <w:rFonts w:ascii="仿宋" w:hAnsi="仿宋" w:eastAsia="仿宋" w:cs="仿宋"/>
          <w:sz w:val="32"/>
          <w:szCs w:val="32"/>
        </w:rPr>
      </w:pPr>
      <w:r>
        <w:rPr>
          <w:rFonts w:hint="eastAsia" w:ascii="仿宋" w:hAnsi="仿宋" w:eastAsia="仿宋" w:cs="仿宋"/>
          <w:sz w:val="32"/>
          <w:szCs w:val="32"/>
        </w:rPr>
        <w:t xml:space="preserve">             城市管理执法局</w:t>
      </w:r>
    </w:p>
    <w:p>
      <w:pPr>
        <w:jc w:val="center"/>
        <w:rPr>
          <w:rFonts w:ascii="仿宋" w:hAnsi="仿宋" w:eastAsia="仿宋" w:cs="仿宋"/>
          <w:sz w:val="32"/>
          <w:szCs w:val="32"/>
        </w:rPr>
      </w:pPr>
      <w:r>
        <w:rPr>
          <w:rFonts w:hint="eastAsia" w:ascii="仿宋" w:hAnsi="仿宋" w:eastAsia="仿宋" w:cs="仿宋"/>
          <w:sz w:val="32"/>
          <w:szCs w:val="32"/>
        </w:rPr>
        <w:t xml:space="preserve">               2023年1月10日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zYxZTM1ZTM0ZDE4YjBmODViMGYxNTc2ZmMxN2IifQ=="/>
  </w:docVars>
  <w:rsids>
    <w:rsidRoot w:val="00DD44E7"/>
    <w:rsid w:val="0004696C"/>
    <w:rsid w:val="002A79AB"/>
    <w:rsid w:val="00374BD1"/>
    <w:rsid w:val="00491B74"/>
    <w:rsid w:val="00792780"/>
    <w:rsid w:val="009460BE"/>
    <w:rsid w:val="00A520F9"/>
    <w:rsid w:val="00CA46E7"/>
    <w:rsid w:val="00DD44E7"/>
    <w:rsid w:val="00F90D5F"/>
    <w:rsid w:val="07CD5425"/>
    <w:rsid w:val="100E05DE"/>
    <w:rsid w:val="31D74C23"/>
    <w:rsid w:val="3A7C4DB0"/>
    <w:rsid w:val="4A5F2214"/>
    <w:rsid w:val="6D74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autoRedefine/>
    <w:qFormat/>
    <w:uiPriority w:val="0"/>
    <w:pP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406</Words>
  <Characters>2319</Characters>
  <Lines>19</Lines>
  <Paragraphs>5</Paragraphs>
  <TotalTime>146</TotalTime>
  <ScaleCrop>false</ScaleCrop>
  <LinksUpToDate>false</LinksUpToDate>
  <CharactersWithSpaces>2720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2023-01-10T01:21:00Z</dcterms:created>
  <dc:creator>Administrator</dc:creator>
  <cp:lastModifiedBy>a</cp:lastModifiedBy>
  <cp:lastPrinted>2023-01-11T02:48:00Z</cp:lastPrinted>
  <dcterms:modified xsi:type="dcterms:W3CDTF">2023-12-13T01:06:38Z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C52A183EA9CB42B7854A12A1E8826557</vt:lpwstr>
  </property>
</Properties>
</file>